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030"/>
        <w:jc w:val="both"/>
        <w:outlineLvl w:val="0"/>
      </w:pPr>
      <w:r>
        <w:rPr>
          <w:sz w:val="24"/>
          <w:lang w:val="en-US"/>
        </w:rPr>
      </w:r>
      <w:r/>
    </w:p>
    <w:p>
      <w:pPr>
        <w:pStyle w:val="1030"/>
        <w:outlineLvl w:val="0"/>
      </w:pPr>
      <w:r>
        <w:rPr>
          <w:sz w:val="24"/>
          <w:lang w:val="ru-RU"/>
        </w:rPr>
        <w:t xml:space="preserve">Зарегистрировано в Минюсте России 26 марта 2026 г. N 85728</w:t>
      </w:r>
      <w:r/>
    </w:p>
    <w:p>
      <w:pPr>
        <w:pStyle w:val="1030"/>
        <w:jc w:val="both"/>
        <w:spacing w:before="100" w:after="100"/>
        <w:rPr>
          <w:sz w:val="2"/>
          <w:szCs w:val="2"/>
        </w:rPr>
        <w:pBdr>
          <w:bottom w:val="single" w:color="000000" w:sz="6" w:space="0"/>
        </w:pBdr>
      </w:pP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pStyle w:val="1030"/>
        <w:jc w:val="both"/>
      </w:pPr>
      <w:r>
        <w:rPr>
          <w:sz w:val="24"/>
          <w:lang w:val="ru-RU"/>
        </w:rPr>
      </w:r>
      <w:r/>
    </w:p>
    <w:p>
      <w:pPr>
        <w:pStyle w:val="1032"/>
        <w:jc w:val="center"/>
      </w:pPr>
      <w:r>
        <w:rPr>
          <w:sz w:val="24"/>
          <w:lang w:val="ru-RU"/>
        </w:rPr>
        <w:t xml:space="preserve">ФЕДЕРАЛЬНАЯ АНТИМОНОПОЛЬНАЯ СЛУЖБА</w:t>
      </w:r>
      <w:r/>
    </w:p>
    <w:p>
      <w:pPr>
        <w:pStyle w:val="1032"/>
        <w:ind w:firstLine="540"/>
        <w:jc w:val="both"/>
      </w:pPr>
      <w:r>
        <w:rPr>
          <w:sz w:val="24"/>
          <w:lang w:val="ru-RU"/>
        </w:rPr>
      </w:r>
      <w:r/>
    </w:p>
    <w:p>
      <w:pPr>
        <w:pStyle w:val="1032"/>
        <w:jc w:val="center"/>
      </w:pPr>
      <w:r>
        <w:rPr>
          <w:sz w:val="24"/>
          <w:lang w:val="ru-RU"/>
        </w:rPr>
        <w:t xml:space="preserve">ПРИКАЗ</w:t>
      </w:r>
      <w:r/>
    </w:p>
    <w:p>
      <w:pPr>
        <w:pStyle w:val="1032"/>
        <w:jc w:val="center"/>
      </w:pPr>
      <w:r>
        <w:rPr>
          <w:sz w:val="24"/>
          <w:lang w:val="ru-RU"/>
        </w:rPr>
        <w:t xml:space="preserve">от 29 декабря 2025 г. N 1216/25</w:t>
      </w:r>
      <w:r/>
    </w:p>
    <w:p>
      <w:pPr>
        <w:pStyle w:val="1032"/>
        <w:ind w:firstLine="540"/>
        <w:jc w:val="both"/>
      </w:pPr>
      <w:r>
        <w:rPr>
          <w:sz w:val="24"/>
          <w:lang w:val="ru-RU"/>
        </w:rPr>
      </w:r>
      <w:r/>
    </w:p>
    <w:p>
      <w:pPr>
        <w:pStyle w:val="1032"/>
        <w:jc w:val="center"/>
      </w:pPr>
      <w:r>
        <w:rPr>
          <w:sz w:val="24"/>
          <w:lang w:val="ru-RU"/>
        </w:rPr>
        <w:t xml:space="preserve">ОБ УТВЕРЖДЕНИИ РАЗМЕРА</w:t>
      </w:r>
      <w:r/>
    </w:p>
    <w:p>
      <w:pPr>
        <w:pStyle w:val="1032"/>
        <w:jc w:val="center"/>
      </w:pPr>
      <w:r>
        <w:rPr>
          <w:sz w:val="24"/>
          <w:lang w:val="ru-RU"/>
        </w:rPr>
        <w:t xml:space="preserve">ПЛАТЫ ЗА СНАБЖЕНЧЕСКО-СБЫТОВЫЕ УСЛУГИ, ОКАЗЫВАЕМЫЕ</w:t>
      </w:r>
      <w:r/>
    </w:p>
    <w:p>
      <w:pPr>
        <w:pStyle w:val="1032"/>
        <w:jc w:val="center"/>
      </w:pPr>
      <w:r>
        <w:rPr>
          <w:sz w:val="24"/>
          <w:lang w:val="ru-RU"/>
        </w:rPr>
        <w:t xml:space="preserve">ПОТРЕБИТЕЛЯМ ПОСТАВЩИКАМИ ГАЗА</w:t>
      </w:r>
      <w:r/>
    </w:p>
    <w:p>
      <w:pPr>
        <w:spacing w:after="1"/>
      </w:pPr>
      <w:r/>
      <w:r/>
    </w:p>
    <w:tbl>
      <w:tblPr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>
        <w:tblPrEx/>
        <w:trPr/>
        <w:tc>
          <w:tcPr>
            <w:shd w:val="clear" w:color="auto" w:fill="ced3f1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0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113" w:type="dxa"/>
              <w:right w:w="0" w:type="dxa"/>
              <w:bottom w:w="113" w:type="dxa"/>
            </w:tcMar>
            <w:tcW w:w="0" w:type="auto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color w:val="392c69"/>
                <w:sz w:val="24"/>
                <w:lang w:val="ru-RU"/>
              </w:rPr>
              <w:t xml:space="preserve">Список изменяющих документов</w:t>
            </w:r>
            <w:r/>
          </w:p>
          <w:p>
            <w:pPr>
              <w:pStyle w:val="1030"/>
              <w:jc w:val="center"/>
            </w:pPr>
            <w:r>
              <w:rPr>
                <w:color w:val="392c69"/>
                <w:sz w:val="24"/>
                <w:lang w:val="ru-RU"/>
              </w:rPr>
              <w:t xml:space="preserve">(в ред. </w:t>
            </w:r>
            <w:r>
              <w:rPr>
                <w:color w:val="392c69"/>
                <w:sz w:val="24"/>
                <w:lang w:val="ru-RU"/>
              </w:rPr>
              <w:t xml:space="preserve">Приказа</w:t>
            </w:r>
            <w:r>
              <w:rPr>
                <w:color w:val="392c69"/>
                <w:sz w:val="24"/>
                <w:lang w:val="ru-RU"/>
              </w:rPr>
              <w:t xml:space="preserve"> ФАС России от 02.04.2026 N 215/26)</w:t>
            </w:r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</w:tr>
    </w:tbl>
    <w:p>
      <w:pPr>
        <w:pStyle w:val="1030"/>
        <w:jc w:val="center"/>
      </w:pPr>
      <w:r>
        <w:rPr>
          <w:sz w:val="24"/>
          <w:lang w:val="ru-RU"/>
        </w:rPr>
      </w:r>
      <w:r/>
    </w:p>
    <w:p>
      <w:pPr>
        <w:pStyle w:val="1030"/>
        <w:ind w:firstLine="540"/>
        <w:jc w:val="both"/>
      </w:pPr>
      <w:r>
        <w:rPr>
          <w:sz w:val="24"/>
          <w:lang w:val="ru-RU"/>
        </w:rPr>
        <w:t xml:space="preserve">В соответствии с </w:t>
      </w:r>
      <w:r>
        <w:rPr>
          <w:sz w:val="24"/>
          <w:lang w:val="ru-RU"/>
        </w:rPr>
        <w:t xml:space="preserve">подпунктом "д" пункта 4</w:t>
      </w:r>
      <w:r>
        <w:rPr>
          <w:sz w:val="24"/>
          <w:lang w:val="ru-RU"/>
        </w:rPr>
        <w:t xml:space="preserve"> и </w:t>
      </w:r>
      <w:r>
        <w:rPr>
          <w:sz w:val="24"/>
          <w:lang w:val="ru-RU"/>
        </w:rPr>
        <w:t xml:space="preserve">подпунктом "д" пункта 7</w:t>
      </w:r>
      <w:r>
        <w:rPr>
          <w:sz w:val="24"/>
          <w:lang w:val="ru-RU"/>
        </w:rPr>
        <w:t xml:space="preserve"> Основных положений формирования и государственного регулирования цен на газ, тарифов на услуги по его транспортировке, платы за технологическое присоединение газоиспользующего оборудования к газораспределительным сетям на территории Российской Федера</w:t>
      </w:r>
      <w:r>
        <w:rPr>
          <w:sz w:val="24"/>
          <w:lang w:val="ru-RU"/>
        </w:rPr>
        <w:t xml:space="preserve">ции и платы за технологическое присоединение к магистральным газопроводам строящихся и реконструируемых газопроводов, предназначенных для транспортировки газа от магистральных газопроводов до объектов капитального строительства, и газопроводов, предназначе</w:t>
      </w:r>
      <w:r>
        <w:rPr>
          <w:sz w:val="24"/>
          <w:lang w:val="ru-RU"/>
        </w:rPr>
        <w:t xml:space="preserve">нных для транспортировки газа от месторождений природного газа до магистрального газопровода, а также цен (стоимости) услуг по техническому обслуживанию единицы внутридомового газового оборудования в многоквартирном доме, единицы внутриквартирного газового</w:t>
      </w:r>
      <w:r>
        <w:rPr>
          <w:sz w:val="24"/>
          <w:lang w:val="ru-RU"/>
        </w:rPr>
        <w:t xml:space="preserve"> оборудования в многоквартирном доме, единицы внутридомового газового оборудования в жилом доме и цен (стоимости) работ по установке и замене такого оборудования, утвержденных постановлением Правительства Российской Федерации от 29 декабря 2000 г. N 1021, </w:t>
      </w:r>
      <w:r>
        <w:rPr>
          <w:sz w:val="24"/>
          <w:lang w:val="ru-RU"/>
        </w:rPr>
        <w:t xml:space="preserve">пунктом 1</w:t>
      </w:r>
      <w:r>
        <w:rPr>
          <w:sz w:val="24"/>
          <w:lang w:val="ru-RU"/>
        </w:rPr>
        <w:t xml:space="preserve"> и </w:t>
      </w:r>
      <w:r>
        <w:rPr>
          <w:sz w:val="24"/>
          <w:lang w:val="ru-RU"/>
        </w:rPr>
        <w:t xml:space="preserve">подпунктом 5.3.21.19 пункта 5</w:t>
      </w:r>
      <w:r>
        <w:rPr>
          <w:sz w:val="24"/>
          <w:lang w:val="ru-RU"/>
        </w:rPr>
        <w:t xml:space="preserve"> Положения о Федеральной антимонопольной службе, утвержденного постановлением Правительства Российской Федерации от 30 июня 2004 г. N 331, приказываю:</w:t>
      </w:r>
      <w:r/>
    </w:p>
    <w:p>
      <w:pPr>
        <w:pStyle w:val="1030"/>
        <w:ind w:firstLine="540"/>
        <w:jc w:val="both"/>
        <w:spacing w:before="240"/>
      </w:pPr>
      <w:r>
        <w:rPr>
          <w:sz w:val="24"/>
          <w:lang w:val="ru-RU"/>
        </w:rPr>
        <w:t xml:space="preserve">1. Утвердить </w:t>
      </w:r>
      <w:hyperlink w:tooltip="РАЗМЕР" w:anchor="P51" w:history="1">
        <w:r>
          <w:rPr>
            <w:color w:val="0000ff"/>
            <w:sz w:val="24"/>
            <w:lang w:val="ru-RU"/>
          </w:rPr>
          <w:t xml:space="preserve">размер</w:t>
        </w:r>
      </w:hyperlink>
      <w:r>
        <w:rPr>
          <w:sz w:val="24"/>
          <w:lang w:val="ru-RU"/>
        </w:rPr>
        <w:t xml:space="preserve"> платы за снабженческо-сбытовые услуги, оказываемые потребителям поставщиками газа, согласно приложению к настоящему приказу.</w:t>
      </w:r>
      <w:r/>
    </w:p>
    <w:p>
      <w:pPr>
        <w:pStyle w:val="1030"/>
        <w:ind w:firstLine="540"/>
        <w:jc w:val="both"/>
        <w:spacing w:before="240"/>
      </w:pPr>
      <w:r>
        <w:rPr>
          <w:sz w:val="24"/>
          <w:lang w:val="ru-RU"/>
        </w:rPr>
        <w:t xml:space="preserve">2. </w:t>
      </w:r>
      <w:hyperlink w:tooltip="РАЗМЕР" w:anchor="P51" w:history="1">
        <w:r>
          <w:rPr>
            <w:color w:val="0000ff"/>
            <w:sz w:val="24"/>
            <w:lang w:val="ru-RU"/>
          </w:rPr>
          <w:t xml:space="preserve">Размер</w:t>
        </w:r>
      </w:hyperlink>
      <w:r>
        <w:rPr>
          <w:sz w:val="24"/>
          <w:lang w:val="ru-RU"/>
        </w:rPr>
        <w:t xml:space="preserve"> платы за снабженческо-сбытовые услуги, утвержденный настоящим приказом, учитывается при формировании цен на газ для потребителей, в том числе при формировании розничных цен на газ, реализуемый населению.</w:t>
      </w:r>
      <w:r/>
    </w:p>
    <w:p>
      <w:pPr>
        <w:pStyle w:val="1030"/>
        <w:ind w:firstLine="540"/>
        <w:jc w:val="both"/>
        <w:spacing w:before="240"/>
      </w:pPr>
      <w:r>
        <w:rPr>
          <w:sz w:val="24"/>
          <w:lang w:val="ru-RU"/>
        </w:rPr>
        <w:t xml:space="preserve">3. Признать утратившими силу:</w:t>
      </w:r>
      <w:r/>
    </w:p>
    <w:p>
      <w:pPr>
        <w:pStyle w:val="1030"/>
        <w:ind w:firstLine="540"/>
        <w:jc w:val="both"/>
        <w:spacing w:before="240"/>
      </w:pPr>
      <w:r>
        <w:rPr>
          <w:sz w:val="24"/>
          <w:lang w:val="ru-RU"/>
        </w:rPr>
        <w:t xml:space="preserve">приказ</w:t>
      </w:r>
      <w:r>
        <w:rPr>
          <w:sz w:val="24"/>
          <w:lang w:val="ru-RU"/>
        </w:rPr>
        <w:t xml:space="preserve"> ФАС России от 31 октября 2022 г. N 775/22 "Об утверждении размера платы за снабженческо-сбытовые услуги, оказываемые потребителям поставщиками газа" (зарегистрирован Минюстом России 30 ноября 2022 г., регистрационный N 71284);</w:t>
      </w:r>
      <w:r/>
    </w:p>
    <w:p>
      <w:pPr>
        <w:pStyle w:val="1030"/>
        <w:ind w:firstLine="540"/>
        <w:jc w:val="both"/>
        <w:spacing w:before="240"/>
      </w:pPr>
      <w:r>
        <w:rPr>
          <w:sz w:val="24"/>
          <w:lang w:val="ru-RU"/>
        </w:rPr>
        <w:t xml:space="preserve">приказ</w:t>
      </w:r>
      <w:r>
        <w:rPr>
          <w:sz w:val="24"/>
          <w:lang w:val="ru-RU"/>
        </w:rPr>
        <w:t xml:space="preserve"> ФАС России от 16 декабря 2022 г. N 992/22 "О внесении </w:t>
      </w:r>
      <w:r>
        <w:rPr>
          <w:sz w:val="24"/>
          <w:lang w:val="ru-RU"/>
        </w:rPr>
        <w:t xml:space="preserve">изменений в приложение к приказу ФАС России от 31 октября 2022 г. N 775/22 "Об утверждении размера платы за снабженческо-сбытовые услуги, оказываемые потребителям поставщиками газа" (зарегистрирован Минюстом России 24 мая 2023 г., регистрационный N 73405);</w:t>
      </w:r>
      <w:r/>
    </w:p>
    <w:p>
      <w:pPr>
        <w:pStyle w:val="1030"/>
        <w:ind w:firstLine="540"/>
        <w:jc w:val="both"/>
        <w:spacing w:before="240"/>
      </w:pPr>
      <w:r>
        <w:rPr>
          <w:sz w:val="24"/>
          <w:lang w:val="ru-RU"/>
        </w:rPr>
        <w:t xml:space="preserve">приказ</w:t>
      </w:r>
      <w:r>
        <w:rPr>
          <w:sz w:val="24"/>
          <w:lang w:val="ru-RU"/>
        </w:rPr>
        <w:t xml:space="preserve"> ФАС России от 21 декабря 2022 г. N 1015/22 "О внесении изм</w:t>
      </w:r>
      <w:r>
        <w:rPr>
          <w:sz w:val="24"/>
          <w:lang w:val="ru-RU"/>
        </w:rPr>
        <w:t xml:space="preserve">енения в приложение к приказу ФАС России от 31 октября 2022 г. N 775/22 "Об утверждении размера платы за снабженческо-сбытовые услуги, оказываемые потребителям поставщиками газа" (зарегистрирован Минюстом России 26 января 2023 г., регистрационный N 72137);</w:t>
      </w:r>
      <w:r/>
    </w:p>
    <w:p>
      <w:pPr>
        <w:pStyle w:val="1030"/>
        <w:ind w:firstLine="540"/>
        <w:jc w:val="both"/>
        <w:spacing w:before="240"/>
      </w:pPr>
      <w:r>
        <w:rPr>
          <w:sz w:val="24"/>
          <w:lang w:val="ru-RU"/>
        </w:rPr>
        <w:t xml:space="preserve">приказ</w:t>
      </w:r>
      <w:r>
        <w:rPr>
          <w:sz w:val="24"/>
          <w:lang w:val="ru-RU"/>
        </w:rPr>
        <w:t xml:space="preserve"> ФАС России от 20 августа 2024 г. N 552/24 "О </w:t>
      </w:r>
      <w:r>
        <w:rPr>
          <w:sz w:val="24"/>
          <w:lang w:val="ru-RU"/>
        </w:rPr>
        <w:t xml:space="preserve">внесении изменений в приказ ФАС России от 31 октября 2022 г. N 775/22 "Об утверждении размера платы за снабженческо-сбытовые услуги, оказываемые потребителям поставщиками газа" (зарегистрирован Минюстом России 19 сентября 2024 г., регистрационный N 79521);</w:t>
      </w:r>
      <w:r/>
    </w:p>
    <w:p>
      <w:pPr>
        <w:pStyle w:val="1030"/>
        <w:ind w:firstLine="540"/>
        <w:jc w:val="both"/>
        <w:spacing w:before="240"/>
      </w:pPr>
      <w:r>
        <w:rPr>
          <w:sz w:val="24"/>
          <w:lang w:val="ru-RU"/>
        </w:rPr>
        <w:t xml:space="preserve">приказ</w:t>
      </w:r>
      <w:r>
        <w:rPr>
          <w:sz w:val="24"/>
          <w:lang w:val="ru-RU"/>
        </w:rPr>
        <w:t xml:space="preserve"> ФАС России от 24 сентября 2024 г. N 656/24 "О внесении изме</w:t>
      </w:r>
      <w:r>
        <w:rPr>
          <w:sz w:val="24"/>
          <w:lang w:val="ru-RU"/>
        </w:rPr>
        <w:t xml:space="preserve">нений в приложение к приказу ФАС России от 31 октября 2022 г. N 775/22 "Об утверждении размера платы за снабженческо-сбытовые услуги, оказываемые потребителям поставщиками газа" (зарегистрирован Минюстом России 20 декабря 2024 г., регистрационный N 80643);</w:t>
      </w:r>
      <w:r/>
    </w:p>
    <w:p>
      <w:pPr>
        <w:pStyle w:val="1030"/>
        <w:ind w:firstLine="540"/>
        <w:jc w:val="both"/>
        <w:spacing w:before="240"/>
      </w:pPr>
      <w:r>
        <w:rPr>
          <w:sz w:val="24"/>
          <w:lang w:val="ru-RU"/>
        </w:rPr>
        <w:t xml:space="preserve">приказ</w:t>
      </w:r>
      <w:r>
        <w:rPr>
          <w:sz w:val="24"/>
          <w:lang w:val="ru-RU"/>
        </w:rPr>
        <w:t xml:space="preserve"> ФАС России от 9 декабря 2024 г. N 982/24 "О внесении изм</w:t>
      </w:r>
      <w:r>
        <w:rPr>
          <w:sz w:val="24"/>
          <w:lang w:val="ru-RU"/>
        </w:rPr>
        <w:t xml:space="preserve">енений в приложение к приказу ФАС России от 31 октября 2022 г. N 775/22 "Об утверждении размера платы за снабженческо-сбытовые услуги, оказываемые потребителям поставщиками газа" (зарегистрирован Минюстом России 24 января 2025 г., регистрационный N 81038);</w:t>
      </w:r>
      <w:r/>
    </w:p>
    <w:p>
      <w:pPr>
        <w:pStyle w:val="1030"/>
        <w:ind w:firstLine="540"/>
        <w:jc w:val="both"/>
        <w:spacing w:before="240"/>
      </w:pPr>
      <w:r>
        <w:rPr>
          <w:sz w:val="24"/>
          <w:lang w:val="ru-RU"/>
        </w:rPr>
        <w:t xml:space="preserve">приказ</w:t>
      </w:r>
      <w:r>
        <w:rPr>
          <w:sz w:val="24"/>
          <w:lang w:val="ru-RU"/>
        </w:rPr>
        <w:t xml:space="preserve"> ФАС России от 11 декабря 2024 г. N 993/24 "О внесении изм</w:t>
      </w:r>
      <w:r>
        <w:rPr>
          <w:sz w:val="24"/>
          <w:lang w:val="ru-RU"/>
        </w:rPr>
        <w:t xml:space="preserve">енения в приложение к приказу ФАС России от 31 октября 2022 г. N 775/22 "Об утверждении размера платы за снабженческо-сбытовые услуги, оказываемые потребителям поставщиками газа" (зарегистрирован Минюстом России 6 февраля 2025 г., регистрационный N 81192);</w:t>
      </w:r>
      <w:r/>
    </w:p>
    <w:p>
      <w:pPr>
        <w:pStyle w:val="1030"/>
        <w:ind w:firstLine="540"/>
        <w:jc w:val="both"/>
        <w:spacing w:before="240"/>
      </w:pPr>
      <w:r>
        <w:rPr>
          <w:sz w:val="24"/>
          <w:lang w:val="ru-RU"/>
        </w:rPr>
        <w:t xml:space="preserve">приказ</w:t>
      </w:r>
      <w:r>
        <w:rPr>
          <w:sz w:val="24"/>
          <w:lang w:val="ru-RU"/>
        </w:rPr>
        <w:t xml:space="preserve"> ФАС России от 21 февраля 2025 г. N 123/25 "О внесении из</w:t>
      </w:r>
      <w:r>
        <w:rPr>
          <w:sz w:val="24"/>
          <w:lang w:val="ru-RU"/>
        </w:rPr>
        <w:t xml:space="preserve">менений в приложение к приказу ФАС России от 31 октября 2022 г. N 775/22 "Об утверждении размера платы за снабженческо-сбытовые услуги, оказываемые потребителям поставщиками газа" (зарегистрирован Минюстом России 4 апреля 2025 г., регистрационный N 81751);</w:t>
      </w:r>
      <w:r/>
    </w:p>
    <w:p>
      <w:pPr>
        <w:pStyle w:val="1030"/>
        <w:ind w:firstLine="540"/>
        <w:jc w:val="both"/>
        <w:spacing w:before="240"/>
      </w:pPr>
      <w:r>
        <w:rPr>
          <w:sz w:val="24"/>
          <w:lang w:val="ru-RU"/>
        </w:rPr>
        <w:t xml:space="preserve">приказ</w:t>
      </w:r>
      <w:r>
        <w:rPr>
          <w:sz w:val="24"/>
          <w:lang w:val="ru-RU"/>
        </w:rPr>
        <w:t xml:space="preserve"> ФАС России от 17 апреля 2025 г. N 291/25 "О внесении </w:t>
      </w:r>
      <w:r>
        <w:rPr>
          <w:sz w:val="24"/>
          <w:lang w:val="ru-RU"/>
        </w:rPr>
        <w:t xml:space="preserve">изменения в приложение к приказу ФАС России от 31 октября 2022 г. N 775/22 "Об утверждении размера платы за снабженческо-сбытовые услуги, оказываемые потребителям поставщиками газа" (зарегистрирован Минюстом России 23 мая 2025 г., регистрационный N 82310);</w:t>
      </w:r>
      <w:r/>
    </w:p>
    <w:p>
      <w:pPr>
        <w:pStyle w:val="1030"/>
        <w:ind w:firstLine="540"/>
        <w:jc w:val="both"/>
        <w:spacing w:before="240"/>
      </w:pPr>
      <w:r>
        <w:rPr>
          <w:sz w:val="24"/>
          <w:lang w:val="ru-RU"/>
        </w:rPr>
        <w:t xml:space="preserve">приказ</w:t>
      </w:r>
      <w:r>
        <w:rPr>
          <w:sz w:val="24"/>
          <w:lang w:val="ru-RU"/>
        </w:rPr>
        <w:t xml:space="preserve"> ФАС России от 29 мая 2025 г. N 430/25 "О внесении и</w:t>
      </w:r>
      <w:r>
        <w:rPr>
          <w:sz w:val="24"/>
          <w:lang w:val="ru-RU"/>
        </w:rPr>
        <w:t xml:space="preserve">зменения в приложение к приказу ФАС России от 31 октября 2022 г. N 775/22 "Об утверждении размера платы за снабженческо-сбытовые услуги, оказываемые потребителям поставщиками газа" (зарегистрирован Минюстом России 18 июля 2025 г., регистрационный N 82981);</w:t>
      </w:r>
      <w:r/>
    </w:p>
    <w:p>
      <w:pPr>
        <w:pStyle w:val="1030"/>
        <w:ind w:firstLine="540"/>
        <w:jc w:val="both"/>
        <w:spacing w:before="240"/>
      </w:pPr>
      <w:r>
        <w:rPr>
          <w:sz w:val="24"/>
          <w:lang w:val="ru-RU"/>
        </w:rPr>
        <w:t xml:space="preserve">приказ</w:t>
      </w:r>
      <w:r>
        <w:rPr>
          <w:sz w:val="24"/>
          <w:lang w:val="ru-RU"/>
        </w:rPr>
        <w:t xml:space="preserve"> ФАС России от 29 сентября 2025 г. N 747/25 "О внесении изме</w:t>
      </w:r>
      <w:r>
        <w:rPr>
          <w:sz w:val="24"/>
          <w:lang w:val="ru-RU"/>
        </w:rPr>
        <w:t xml:space="preserve">нений в приложение к приказу ФАС России от 31 октября 2022 г. N 775/22 "Об утверждении размера платы за снабженческо-сбытовые услуги, оказываемые потребителям поставщиками газа" (зарегистрирован Минюстом России 28 октября 2025 г., регистрационный N 83968);</w:t>
      </w:r>
      <w:r/>
    </w:p>
    <w:p>
      <w:pPr>
        <w:pStyle w:val="1030"/>
        <w:ind w:firstLine="540"/>
        <w:jc w:val="both"/>
        <w:spacing w:before="240"/>
      </w:pPr>
      <w:r>
        <w:rPr>
          <w:sz w:val="24"/>
          <w:lang w:val="ru-RU"/>
        </w:rPr>
        <w:t xml:space="preserve">приказ</w:t>
      </w:r>
      <w:r>
        <w:rPr>
          <w:sz w:val="24"/>
          <w:lang w:val="ru-RU"/>
        </w:rPr>
        <w:t xml:space="preserve"> ФАС России от 16 октября 2025 г. N 802/25 "О внесении изме</w:t>
      </w:r>
      <w:r>
        <w:rPr>
          <w:sz w:val="24"/>
          <w:lang w:val="ru-RU"/>
        </w:rPr>
        <w:t xml:space="preserve">нения в приложение к приказу ФАС России от 31 октября 2022 г. N 775/22 "Об утверждении размера платы за снабженческо-сбытовые услуги, оказываемые потребителям поставщиками газа" (зарегистрирован Минюстом России 19 декабря 2025 г., регистрационный N 84698);</w:t>
      </w:r>
      <w:r/>
    </w:p>
    <w:p>
      <w:pPr>
        <w:pStyle w:val="1030"/>
        <w:ind w:firstLine="540"/>
        <w:jc w:val="both"/>
        <w:spacing w:before="240"/>
      </w:pPr>
      <w:r>
        <w:rPr>
          <w:sz w:val="24"/>
          <w:lang w:val="ru-RU"/>
        </w:rPr>
        <w:t xml:space="preserve">приказ</w:t>
      </w:r>
      <w:r>
        <w:rPr>
          <w:sz w:val="24"/>
          <w:lang w:val="ru-RU"/>
        </w:rPr>
        <w:t xml:space="preserve"> ФАС России от 28 октября 2025 г. N 837/25 "О внесении изме</w:t>
      </w:r>
      <w:r>
        <w:rPr>
          <w:sz w:val="24"/>
          <w:lang w:val="ru-RU"/>
        </w:rPr>
        <w:t xml:space="preserve">нения в приложение к приказу ФАС России от 31 октября 2022 г. N 775/22 "Об утверждении размера платы за снабженческо-сбытовые услуги, оказываемые потребителям поставщиками газа" (зарегистрирован Минюстом России 22 декабря 2025 г., регистрационный N 84710);</w:t>
      </w:r>
      <w:r/>
    </w:p>
    <w:p>
      <w:pPr>
        <w:pStyle w:val="1030"/>
        <w:ind w:firstLine="540"/>
        <w:jc w:val="both"/>
        <w:spacing w:before="240"/>
      </w:pPr>
      <w:r>
        <w:rPr>
          <w:sz w:val="24"/>
          <w:lang w:val="ru-RU"/>
        </w:rPr>
        <w:t xml:space="preserve">приказ</w:t>
      </w:r>
      <w:r>
        <w:rPr>
          <w:sz w:val="24"/>
          <w:lang w:val="ru-RU"/>
        </w:rPr>
        <w:t xml:space="preserve"> ФАС России от 21 ноября 2022 г. N 841/22 "Об утверждении размера платы за снабженческо-сбытовые услуги, оказываемые АО "Мособлгаз" населению на территории Московской области" (зарегистрирован Минюстом России 19 декабря 2022 г., регистрационный N 71644);</w:t>
      </w:r>
      <w:r/>
    </w:p>
    <w:p>
      <w:pPr>
        <w:pStyle w:val="1030"/>
        <w:ind w:firstLine="540"/>
        <w:jc w:val="both"/>
        <w:spacing w:before="240"/>
      </w:pPr>
      <w:r>
        <w:rPr>
          <w:sz w:val="24"/>
          <w:lang w:val="ru-RU"/>
        </w:rPr>
        <w:t xml:space="preserve">приказ</w:t>
      </w:r>
      <w:r>
        <w:rPr>
          <w:sz w:val="24"/>
          <w:lang w:val="ru-RU"/>
        </w:rPr>
        <w:t xml:space="preserve"> ФАС России от 24 ноября 2025 г. N 971/25 "Об утверждении размера платы за снабженческо-сбытовые услуги, </w:t>
      </w:r>
      <w:r>
        <w:rPr>
          <w:sz w:val="24"/>
          <w:lang w:val="ru-RU"/>
        </w:rPr>
        <w:t xml:space="preserve">оказываемые потребителям газа ООО "Газпром межрегионгаз Север" на территории Тюменской области, Ханты-Мансийского автономного округа - Югры и Ямало-Ненецкого автономного округа" (зарегистрирован Минюстом России 22 декабря 2025 г., регистрационный N 84711).</w:t>
      </w:r>
      <w:r/>
    </w:p>
    <w:p>
      <w:pPr>
        <w:pStyle w:val="1030"/>
        <w:ind w:firstLine="540"/>
        <w:jc w:val="both"/>
        <w:spacing w:before="240"/>
      </w:pPr>
      <w:r>
        <w:rPr>
          <w:sz w:val="24"/>
          <w:lang w:val="ru-RU"/>
        </w:rPr>
        <w:t xml:space="preserve">4. Настоящий приказ вступает в силу с 1 октября 2026 г. и действует до 1 марта 2029 г.</w:t>
      </w:r>
      <w:r/>
    </w:p>
    <w:p>
      <w:pPr>
        <w:pStyle w:val="1030"/>
        <w:ind w:firstLine="540"/>
        <w:jc w:val="both"/>
      </w:pPr>
      <w:r>
        <w:rPr>
          <w:sz w:val="24"/>
          <w:lang w:val="ru-RU"/>
        </w:rPr>
      </w:r>
      <w:r/>
    </w:p>
    <w:p>
      <w:pPr>
        <w:pStyle w:val="1030"/>
        <w:jc w:val="right"/>
      </w:pPr>
      <w:r>
        <w:rPr>
          <w:sz w:val="24"/>
          <w:lang w:val="ru-RU"/>
        </w:rPr>
        <w:t xml:space="preserve">Руководитель</w:t>
      </w:r>
      <w:r/>
    </w:p>
    <w:p>
      <w:pPr>
        <w:pStyle w:val="1030"/>
        <w:jc w:val="right"/>
      </w:pPr>
      <w:r>
        <w:rPr>
          <w:sz w:val="24"/>
          <w:lang w:val="ru-RU"/>
        </w:rPr>
        <w:t xml:space="preserve">М.А.ШАСКОЛЬСКИЙ</w:t>
      </w:r>
      <w:r/>
    </w:p>
    <w:p>
      <w:pPr>
        <w:pStyle w:val="1030"/>
        <w:ind w:firstLine="540"/>
        <w:jc w:val="both"/>
      </w:pPr>
      <w:r>
        <w:rPr>
          <w:sz w:val="24"/>
          <w:lang w:val="ru-RU"/>
        </w:rPr>
      </w:r>
      <w:r/>
    </w:p>
    <w:p>
      <w:pPr>
        <w:pStyle w:val="1030"/>
        <w:ind w:firstLine="540"/>
        <w:jc w:val="both"/>
      </w:pPr>
      <w:r>
        <w:rPr>
          <w:sz w:val="24"/>
          <w:lang w:val="ru-RU"/>
        </w:rPr>
      </w:r>
      <w:r/>
    </w:p>
    <w:p>
      <w:pPr>
        <w:pStyle w:val="1030"/>
        <w:ind w:firstLine="540"/>
        <w:jc w:val="both"/>
      </w:pPr>
      <w:r>
        <w:rPr>
          <w:sz w:val="24"/>
          <w:lang w:val="ru-RU"/>
        </w:rPr>
      </w:r>
      <w:r/>
    </w:p>
    <w:p>
      <w:pPr>
        <w:pStyle w:val="1030"/>
        <w:ind w:firstLine="540"/>
        <w:jc w:val="both"/>
      </w:pPr>
      <w:r>
        <w:rPr>
          <w:sz w:val="24"/>
          <w:lang w:val="ru-RU"/>
        </w:rPr>
      </w:r>
      <w:r/>
    </w:p>
    <w:p>
      <w:pPr>
        <w:pStyle w:val="1030"/>
        <w:ind w:firstLine="540"/>
        <w:jc w:val="both"/>
      </w:pPr>
      <w:r>
        <w:rPr>
          <w:sz w:val="24"/>
          <w:lang w:val="ru-RU"/>
        </w:rPr>
      </w:r>
      <w:r/>
    </w:p>
    <w:p>
      <w:pPr>
        <w:pStyle w:val="1030"/>
        <w:jc w:val="right"/>
        <w:outlineLvl w:val="0"/>
      </w:pPr>
      <w:r>
        <w:rPr>
          <w:sz w:val="24"/>
          <w:lang w:val="ru-RU"/>
        </w:rPr>
        <w:t xml:space="preserve">Приложение</w:t>
      </w:r>
      <w:r/>
    </w:p>
    <w:p>
      <w:pPr>
        <w:pStyle w:val="1030"/>
        <w:jc w:val="right"/>
      </w:pPr>
      <w:r>
        <w:rPr>
          <w:sz w:val="24"/>
          <w:lang w:val="ru-RU"/>
        </w:rPr>
      </w:r>
      <w:r/>
    </w:p>
    <w:p>
      <w:pPr>
        <w:pStyle w:val="1030"/>
        <w:jc w:val="right"/>
      </w:pPr>
      <w:r>
        <w:rPr>
          <w:sz w:val="24"/>
          <w:lang w:val="ru-RU"/>
        </w:rPr>
        <w:t xml:space="preserve">Утвержден</w:t>
      </w:r>
      <w:r/>
    </w:p>
    <w:p>
      <w:pPr>
        <w:pStyle w:val="1030"/>
        <w:jc w:val="right"/>
      </w:pPr>
      <w:r>
        <w:rPr>
          <w:sz w:val="24"/>
          <w:lang w:val="ru-RU"/>
        </w:rPr>
        <w:t xml:space="preserve">приказом ФАС России</w:t>
      </w:r>
      <w:r/>
    </w:p>
    <w:p>
      <w:pPr>
        <w:pStyle w:val="1030"/>
        <w:jc w:val="right"/>
      </w:pPr>
      <w:r>
        <w:rPr>
          <w:sz w:val="24"/>
          <w:lang w:val="ru-RU"/>
        </w:rPr>
        <w:t xml:space="preserve">от 29.12.2025 N 1216/25</w:t>
      </w:r>
      <w:r/>
    </w:p>
    <w:p>
      <w:pPr>
        <w:pStyle w:val="1030"/>
        <w:ind w:firstLine="540"/>
        <w:jc w:val="both"/>
      </w:pPr>
      <w:r>
        <w:rPr>
          <w:sz w:val="24"/>
          <w:lang w:val="ru-RU"/>
        </w:rPr>
      </w:r>
      <w:r/>
    </w:p>
    <w:p>
      <w:pPr>
        <w:pStyle w:val="1030"/>
        <w:jc w:val="right"/>
      </w:pPr>
      <w:r>
        <w:rPr>
          <w:sz w:val="24"/>
          <w:lang w:val="ru-RU"/>
        </w:rPr>
        <w:t xml:space="preserve">(без учета налога на добавленную стоимость)</w:t>
      </w:r>
      <w:r/>
    </w:p>
    <w:p>
      <w:pPr>
        <w:pStyle w:val="1030"/>
        <w:ind w:firstLine="540"/>
        <w:jc w:val="both"/>
      </w:pPr>
      <w:r>
        <w:rPr>
          <w:sz w:val="24"/>
          <w:lang w:val="ru-RU"/>
        </w:rPr>
      </w:r>
      <w:r/>
    </w:p>
    <w:p>
      <w:pPr>
        <w:pStyle w:val="1032"/>
        <w:jc w:val="center"/>
      </w:pPr>
      <w:r/>
      <w:bookmarkStart w:id="51" w:name="P51"/>
      <w:r/>
      <w:bookmarkEnd w:id="51"/>
      <w:r>
        <w:rPr>
          <w:sz w:val="24"/>
          <w:lang w:val="ru-RU"/>
        </w:rPr>
        <w:t xml:space="preserve">РАЗМЕР</w:t>
      </w:r>
      <w:r/>
    </w:p>
    <w:p>
      <w:pPr>
        <w:pStyle w:val="1032"/>
        <w:jc w:val="center"/>
      </w:pPr>
      <w:r>
        <w:rPr>
          <w:sz w:val="24"/>
          <w:lang w:val="ru-RU"/>
        </w:rPr>
        <w:t xml:space="preserve">ПЛАТЫ ЗА СНАБЖЕНЧЕСКО-СБЫТОВЫЕ УСЛУГИ, ОКАЗЫВАЕМЫЕ</w:t>
      </w:r>
      <w:r/>
    </w:p>
    <w:p>
      <w:pPr>
        <w:pStyle w:val="1032"/>
        <w:jc w:val="center"/>
      </w:pPr>
      <w:r>
        <w:rPr>
          <w:sz w:val="24"/>
          <w:lang w:val="ru-RU"/>
        </w:rPr>
        <w:t xml:space="preserve">ПОТРЕБИТЕЛЯМ ПОСТАВЩИКАМИ ГАЗА (РУБЛЕЙ ЗА 1000 М</w:t>
      </w:r>
      <w:r>
        <w:rPr>
          <w:sz w:val="24"/>
          <w:vertAlign w:val="superscript"/>
          <w:lang w:val="ru-RU"/>
        </w:rPr>
        <w:t xml:space="preserve">3</w:t>
      </w:r>
      <w:r>
        <w:rPr>
          <w:sz w:val="24"/>
          <w:lang w:val="ru-RU"/>
        </w:rPr>
        <w:t xml:space="preserve">)</w:t>
      </w:r>
      <w:r/>
    </w:p>
    <w:p>
      <w:pPr>
        <w:spacing w:after="1"/>
      </w:pPr>
      <w:r/>
      <w:r/>
    </w:p>
    <w:tbl>
      <w:tblPr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>
        <w:tblPrEx/>
        <w:trPr/>
        <w:tc>
          <w:tcPr>
            <w:shd w:val="clear" w:color="auto" w:fill="ced3f1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0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113" w:type="dxa"/>
              <w:right w:w="0" w:type="dxa"/>
              <w:bottom w:w="113" w:type="dxa"/>
            </w:tcMar>
            <w:tcW w:w="0" w:type="auto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color w:val="392c69"/>
                <w:sz w:val="24"/>
                <w:lang w:val="ru-RU"/>
              </w:rPr>
              <w:t xml:space="preserve">Список изменяющих документов</w:t>
            </w:r>
            <w:r/>
          </w:p>
          <w:p>
            <w:pPr>
              <w:pStyle w:val="1030"/>
              <w:jc w:val="center"/>
            </w:pPr>
            <w:r>
              <w:rPr>
                <w:color w:val="392c69"/>
                <w:sz w:val="24"/>
                <w:lang w:val="ru-RU"/>
              </w:rPr>
              <w:t xml:space="preserve">(в ред. </w:t>
            </w:r>
            <w:r>
              <w:rPr>
                <w:color w:val="392c69"/>
                <w:sz w:val="24"/>
                <w:lang w:val="ru-RU"/>
              </w:rPr>
              <w:t xml:space="preserve">Приказа</w:t>
            </w:r>
            <w:r>
              <w:rPr>
                <w:color w:val="392c69"/>
                <w:sz w:val="24"/>
                <w:lang w:val="ru-RU"/>
              </w:rPr>
              <w:t xml:space="preserve"> ФАС России от 02.04.2026 N 215/26)</w:t>
            </w:r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</w:tr>
    </w:tbl>
    <w:p>
      <w:pPr>
        <w:pStyle w:val="1030"/>
      </w:pPr>
      <w:r>
        <w:rPr>
          <w:sz w:val="24"/>
          <w:lang w:val="ru-RU"/>
        </w:rPr>
      </w:r>
      <w:r/>
    </w:p>
    <w:p>
      <w:pPr>
        <w:sectPr>
          <w:headerReference w:type="default" r:id="rId8"/>
          <w:headerReference w:type="first" r:id="rId9"/>
          <w:footerReference w:type="default" r:id="rId12"/>
          <w:footerReference w:type="first" r:id="rId13"/>
          <w:footnotePr/>
          <w:endnotePr/>
          <w:type w:val="nextPage"/>
          <w:pgSz w:w="11906" w:h="16838" w:orient="portrait"/>
          <w:pgMar w:top="1440" w:right="566" w:bottom="1440" w:left="1133" w:header="0" w:footer="0" w:gutter="0"/>
          <w:cols w:num="1" w:sep="0" w:space="1701" w:equalWidth="1"/>
          <w:docGrid w:linePitch="360"/>
          <w:titlePg/>
        </w:sectPr>
      </w:pPr>
      <w:r/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6"/>
        <w:gridCol w:w="3514"/>
        <w:gridCol w:w="2267"/>
        <w:gridCol w:w="915"/>
        <w:gridCol w:w="915"/>
        <w:gridCol w:w="915"/>
        <w:gridCol w:w="915"/>
        <w:gridCol w:w="915"/>
        <w:gridCol w:w="915"/>
        <w:gridCol w:w="915"/>
        <w:gridCol w:w="920"/>
      </w:tblGrid>
      <w:tr>
        <w:tblPrEx/>
        <w:trPr/>
        <w:tc>
          <w:tcPr>
            <w:gridSpan w:val="11"/>
            <w:tcW w:w="13672" w:type="dxa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ru-RU"/>
              </w:rPr>
              <w:t xml:space="preserve">по группам потребителей с объемом потребления газа (млн. м</w:t>
            </w:r>
            <w:r>
              <w:rPr>
                <w:sz w:val="24"/>
                <w:vertAlign w:val="superscript"/>
                <w:lang w:val="ru-RU"/>
              </w:rPr>
              <w:t xml:space="preserve">3</w:t>
            </w:r>
            <w:r>
              <w:rPr>
                <w:sz w:val="24"/>
                <w:lang w:val="ru-RU"/>
              </w:rPr>
              <w:t xml:space="preserve">/год)</w:t>
            </w:r>
            <w:r/>
          </w:p>
        </w:tc>
      </w:tr>
      <w:tr>
        <w:tblPrEx/>
        <w:trPr/>
        <w:tc>
          <w:tcPr>
            <w:tcW w:w="566" w:type="dxa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ru-RU"/>
              </w:rPr>
              <w:t xml:space="preserve">N пункта</w:t>
            </w:r>
            <w:r/>
          </w:p>
        </w:tc>
        <w:tc>
          <w:tcPr>
            <w:tcW w:w="3514" w:type="dxa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ru-RU"/>
              </w:rPr>
              <w:t xml:space="preserve">Наименование организации, оказывающей снабженческо-сбытовые услуги</w:t>
            </w:r>
            <w:r/>
          </w:p>
        </w:tc>
        <w:tc>
          <w:tcPr>
            <w:tcW w:w="2267" w:type="dxa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ru-RU"/>
              </w:rPr>
              <w:t xml:space="preserve">Субъект Российской Федерации</w:t>
            </w:r>
            <w:r/>
          </w:p>
        </w:tc>
        <w:tc>
          <w:tcPr>
            <w:tcW w:w="915" w:type="dxa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ru-RU"/>
              </w:rPr>
              <w:t xml:space="preserve">свыше 500</w:t>
            </w:r>
            <w:r/>
          </w:p>
        </w:tc>
        <w:tc>
          <w:tcPr>
            <w:tcW w:w="915" w:type="dxa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ru-RU"/>
              </w:rPr>
              <w:t xml:space="preserve">от 100 до 500 включительно</w:t>
            </w:r>
            <w:r/>
          </w:p>
        </w:tc>
        <w:tc>
          <w:tcPr>
            <w:tcW w:w="915" w:type="dxa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ru-RU"/>
              </w:rPr>
              <w:t xml:space="preserve">от 10 до 100 включительно</w:t>
            </w:r>
            <w:r/>
          </w:p>
        </w:tc>
        <w:tc>
          <w:tcPr>
            <w:tcW w:w="915" w:type="dxa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ru-RU"/>
              </w:rPr>
              <w:t xml:space="preserve">от 1 до 10 включительно</w:t>
            </w:r>
            <w:r/>
          </w:p>
        </w:tc>
        <w:tc>
          <w:tcPr>
            <w:tcW w:w="915" w:type="dxa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ru-RU"/>
              </w:rPr>
              <w:t xml:space="preserve">от 0,1 до 1 включительно</w:t>
            </w:r>
            <w:r/>
          </w:p>
        </w:tc>
        <w:tc>
          <w:tcPr>
            <w:tcW w:w="915" w:type="dxa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ru-RU"/>
              </w:rPr>
              <w:t xml:space="preserve">от 0,01 до 0,1 включительно</w:t>
            </w:r>
            <w:r/>
          </w:p>
        </w:tc>
        <w:tc>
          <w:tcPr>
            <w:tcW w:w="915" w:type="dxa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ru-RU"/>
              </w:rPr>
              <w:t xml:space="preserve">до 0,01 включительно</w:t>
            </w:r>
            <w:r/>
          </w:p>
        </w:tc>
        <w:tc>
          <w:tcPr>
            <w:tcW w:w="920" w:type="dxa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ru-RU"/>
              </w:rPr>
              <w:t xml:space="preserve">население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1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ООО "Газпром межрегионгаз Новосибирск"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Алтайский край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20,39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30,57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83,79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104,80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115,33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120,62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126,99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441,05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2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ООО "Газпром межрегионгаз Дальний Восток"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Амурская область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14,06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28,11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56,24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84,35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112,48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140,59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175,74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210,88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3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ООО "Газпром межрегионгаз Сыктывкар"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Архангельская область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103,98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107,76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114,13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123,84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126,34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127,57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128,82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181,44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4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ООО "Газпром межрегионгаз Белгород"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Белгородская область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109,86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121,41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132,97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169,01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172,41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175,55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178,72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246,25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5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ООО "Газпром межрегионгаз Брянск"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Брянская область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164,11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168,03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177,92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197,70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201,66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205,61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209,57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279,19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6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ООО "Газпром межрегионгаз Владимир"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Владимирская область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172,01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174,20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184,37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217,09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226,72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228,96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231,23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288,42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7</w:t>
            </w:r>
            <w:r/>
          </w:p>
        </w:tc>
        <w:tc>
          <w:tcPr>
            <w:tcBorders>
              <w:bottom w:val="none" w:color="000000" w:sz="4" w:space="0"/>
            </w:tcBorders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ООО "Газпром межрегионгаз Волгоград"</w:t>
            </w:r>
            <w:r/>
          </w:p>
        </w:tc>
        <w:tc>
          <w:tcPr>
            <w:tcBorders>
              <w:bottom w:val="none" w:color="000000" w:sz="4" w:space="0"/>
            </w:tcBorders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Волгоградская область</w:t>
            </w:r>
            <w:r/>
          </w:p>
        </w:tc>
        <w:tc>
          <w:tcPr>
            <w:tcBorders>
              <w:bottom w:val="none" w:color="000000" w:sz="4" w:space="0"/>
            </w:tcBorders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151,46</w:t>
            </w:r>
            <w:r/>
          </w:p>
        </w:tc>
        <w:tc>
          <w:tcPr>
            <w:tcBorders>
              <w:bottom w:val="none" w:color="000000" w:sz="4" w:space="0"/>
            </w:tcBorders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163,38</w:t>
            </w:r>
            <w:r/>
          </w:p>
        </w:tc>
        <w:tc>
          <w:tcPr>
            <w:tcBorders>
              <w:bottom w:val="none" w:color="000000" w:sz="4" w:space="0"/>
            </w:tcBorders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175,60</w:t>
            </w:r>
            <w:r/>
          </w:p>
        </w:tc>
        <w:tc>
          <w:tcPr>
            <w:tcBorders>
              <w:bottom w:val="none" w:color="000000" w:sz="4" w:space="0"/>
            </w:tcBorders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203,71</w:t>
            </w:r>
            <w:r/>
          </w:p>
        </w:tc>
        <w:tc>
          <w:tcPr>
            <w:tcBorders>
              <w:bottom w:val="none" w:color="000000" w:sz="4" w:space="0"/>
            </w:tcBorders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264,82</w:t>
            </w:r>
            <w:r/>
          </w:p>
        </w:tc>
        <w:tc>
          <w:tcPr>
            <w:tcBorders>
              <w:bottom w:val="none" w:color="000000" w:sz="4" w:space="0"/>
            </w:tcBorders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307,60</w:t>
            </w:r>
            <w:r/>
          </w:p>
        </w:tc>
        <w:tc>
          <w:tcPr>
            <w:tcBorders>
              <w:bottom w:val="none" w:color="000000" w:sz="4" w:space="0"/>
            </w:tcBorders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342,23</w:t>
            </w:r>
            <w:r/>
          </w:p>
        </w:tc>
        <w:tc>
          <w:tcPr>
            <w:tcBorders>
              <w:bottom w:val="none" w:color="000000" w:sz="4" w:space="0"/>
            </w:tcBorders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246,88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11"/>
            <w:tcBorders>
              <w:top w:val="none" w:color="000000" w:sz="4" w:space="0"/>
            </w:tcBorders>
            <w:tcW w:w="13672" w:type="dxa"/>
            <w:textDirection w:val="lrTb"/>
            <w:noWrap w:val="false"/>
          </w:tcPr>
          <w:p>
            <w:pPr>
              <w:pStyle w:val="1030"/>
              <w:jc w:val="both"/>
            </w:pPr>
            <w:r>
              <w:rPr>
                <w:sz w:val="24"/>
                <w:lang w:val="ru-RU"/>
              </w:rPr>
              <w:t xml:space="preserve">(п. 7 в ред. </w:t>
            </w:r>
            <w:r>
              <w:rPr>
                <w:sz w:val="24"/>
                <w:lang w:val="ru-RU"/>
              </w:rPr>
              <w:t xml:space="preserve">Приказа</w:t>
            </w:r>
            <w:r>
              <w:rPr>
                <w:sz w:val="24"/>
                <w:lang w:val="ru-RU"/>
              </w:rPr>
              <w:t xml:space="preserve"> ФАС России от 02.04.2026 N 215/26)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8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ООО "Газпром межрегионгаз Вологда"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Вологодская область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79,63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90,26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100,04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113,32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116,70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122,27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125,64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142,88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9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ООО "Газпром межрегионгаз Воронеж"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Воронежская область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131,24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138,73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149,98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172,48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179,97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189,35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198,72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266,22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10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ООО "Газпром межрегионгаз Иваново"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Ивановская область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209,22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214,32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229,64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255,15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260,26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265,35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270,46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356,20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11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ООО "Газпром межрегионгаз Нальчик"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Кабардино-Балкарская Республика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75,93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179,68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192,35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215,15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239,17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263,21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278,40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335,53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12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ООО "Газпром межрегионгаз Санкт-Петербург"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Калининградская область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49,78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50,62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68,16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93,74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110,79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153,40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213,04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356,99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13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ООО "Газпром межрегионгаз Калуга"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Калужская область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212,76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212,76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227,95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253,29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255,82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257,85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260,89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309,88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14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ООО "Газпром межрегионгаз Дальний Восток"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Камчатский край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125,85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157,31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163,60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188,12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205,22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222,32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239,42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247,56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15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ООО "Газпром межрегионгаз Черкесск"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Карачаево-Черкесская Республика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70,21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232,60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248,99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278,48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309,59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340,71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360,38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423,49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16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ООО "Газпром межрегионгаз Кемерово"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Кемеровская область - Кузбасс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35,33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42,84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48,19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56,22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59,96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64,26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80,32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279,23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17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ООО "Газпром межрегионгаз Киров"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Кировская область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136,46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147,99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187,53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219,87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228,17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233,90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238,91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347,34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18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ООО "Газпром межрегионгаз Краснодар"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Краснодарский край и федеральная территория "Сириус" (за исключением г. Краснодар, Усть-Лабинского и Славянского районов)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71,65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88,95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158,62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236,44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247,43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269,23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280,29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366,70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19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ООО "Газпром межрегионгаз Краснодар"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Краснодарский край (г. Краснодар)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71,65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88,95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158,62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236,44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247,43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269,23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280,29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208,94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20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ООО "Газпром межрегионгаз Краснодар"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Краснодарский край (Усть-Лабинский район Краснодарского края)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71,65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88,95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158,62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236,44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247,43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269,23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280,29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171,40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21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ООО "Газпром межрегионгаз Краснодар"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Краснодарский край (Славянский район Краснодарского края)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71,65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88,95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158,62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236,44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247,43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269,23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280,29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211,14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22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ООО "Газпром межрегионгаз Курган"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Курганская область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210,73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224,71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235,25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241,56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249,99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262,62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266,85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278,63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23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ООО "Газпром межрегионгаз Курск"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Курская область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-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181,57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193,67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215,46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220,30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232,41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239,67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331,66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24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ООО "Газпром межрегионгаз Санкт-Петербург"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Ленинградская область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96,00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98,59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105,77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121,03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122,83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124,64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126,00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159,50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25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ООО "Газпром межрегионгаз Москва"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Город федерального значения Москва, кроме территории, до 1 июля 2012 года находившейся в составе Московской области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25,87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47,73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51,72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63,25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66,12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69,00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71,87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299,43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26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ООО "Газпром межрегионгаз Москва"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Московская область и территория города федерального значения Москвы, до 1 июля 2012 года находившаяся в составе Московской области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77,99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83,19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93,61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106,06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112,34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116,49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122,74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299,43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27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АО "Мособлгаз"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Московская область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-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-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-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-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-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-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-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220,20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28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АО "Газпром межрегионгаз Нижний Новгород"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Нижегородская область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131,24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134,43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144,89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167,81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172,25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175,87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179,51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192,54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29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ООО "Газпром межрегионгаз Великий Новгород"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Новгородская область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105,25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107,84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114,24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130,68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133,56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136,79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140,13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166,68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30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ООО "Газпром межрегионгаз Новосибирск"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Новосибирская область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43,55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117,70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129,70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152,11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155,18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158,31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161,48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221,08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31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ООО "Газпром межрегионгаз Омск"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Омская область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130,87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136,02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147,54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163,96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167,36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170,81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174,19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201,72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32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ООО "Газпром межрегионгаз Оренбург"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Оренбургская область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208,83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210,80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220,74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313,38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316,06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318,82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321,51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168,05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33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ООО "Газпром межрегионгаз Пенза"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Пензенская область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173,63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182,54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203,69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238,44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272,36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278,73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285,13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380,45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34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ООО "Газпром межрегионгаз Пермь"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Пермский край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161,59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166,02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177,08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199,22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201,43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205,86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208,07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203,64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35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ООО "Газпром межрегионгаз Дальний Восток"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Приморский край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24,35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33,86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67,71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101,55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147,70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184,63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230,79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238,63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36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ООО "Газпром межрегионгаз Псков"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Псковская область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198,22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228,72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243,97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271,41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280,56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289,71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295,81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451,34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37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ООО "Газпром межрегионгаз Новосибирск"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Республика Алтай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22,81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34,20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93,60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114,85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124,35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127,93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132,69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473,44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38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ООО "Газпром межрегионгаз Уфа"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Республика Башкортостан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88,93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129,43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166,76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184,73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192,13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194,45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197,47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240,83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39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ООО "Газпром межрегионгаз Махачкала"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Республика Дагестан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72,30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171,08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183,14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204,83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227,72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250,61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265,08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335,46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40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ООО "Газпром межрегионгаз Назрань"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Республика Ингушетия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75,93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179,68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192,35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215,15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239,17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263,21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278,40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335,53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41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ООО "Газпром межрегионгаз Ростов-на-Дону"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Республика Калмыкия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-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-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61,87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69,43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108,03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129,36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137,45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-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42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АО "Газпром газораспределение Элиста"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Республика Калмыкия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130,90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132,45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140,22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158,90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247,20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296,04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314,56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431,10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43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ООО "Газпром межрегионгаз Санкт-Петербург"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Республика Карелия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96,00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98,59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105,77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121,03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122,83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124,64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126,00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159,50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44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ГУП РК "Крымгазсети"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Республика Крым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-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29,68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42,40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54,05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79,50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80,02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90,09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225,24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45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ООО "Газпром межрегионгаз Сыктывкар"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Республика Коми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103,98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107,76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117,22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127,33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130,03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131,34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132,69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181,44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46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ООО "Газпром газораспределение Йошкар-Ола"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Республика Марий Эл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-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178,59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194,21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221,00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230,11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243,77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252,88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364,85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47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АО "Сахатранснефтегаз"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Республика Саха (Якутия) (кроме Ленского района)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115,45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121,62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129,45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142,40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155,96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142,82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160,24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110,13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48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ООО "Газпром межрегионгаз Владикавказ"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Республика Северная Осетия - Алания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75,93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179,68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192,35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215,15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239,17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263,21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278,40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335,53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49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АО "Газпром межрегионгаз Казань"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Республика Татарстан (Татарстан)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39,56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46,75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74,11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86,52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92,64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97,79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113,22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227,99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50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ООО "Газпром трансгаз Казань"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Республика Татарстан (Татарстан)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-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-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-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-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-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-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-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328,95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51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ООО "Газпром межрегионгаз Ростов-на-Дону"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Ростовская область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143,13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156,47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166,02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190,82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192,72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194,67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196,57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247,89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52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ООО "Газпром межрегионгаз Рязань"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Рязанская область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91,49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102,25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115,03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133,39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140,80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145,27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149,87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302,43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53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ООО "Газпром межрегионгаз Самара"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Самарская область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81,01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93,35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100,59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112,26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114,47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116,68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119,49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116,04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54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ООО "Газпром межрегионгаз Санкт-Петербург"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Город федерального значения Санкт-Петербург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96,00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98,59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105,77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121,03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122,83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124,64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126,00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159,50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55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ООО "Газпром межрегионгаз Саратов"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Саратовская область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170,20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173,23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202,12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271,05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272,46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275,03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277,45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321,25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56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ООО "Газпром межрегионгаз Дальний Восток"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Сахалинская область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91,71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128,24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186,52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279,79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373,04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466,30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489,62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606,28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57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АО "Екатеринбурггаз"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Свердловская область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-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-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-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-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-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-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-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97,90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58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АО "Газпром газораспределение Екатеринбург"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Свердловская область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-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-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-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-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-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-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-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256,16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59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ООО "Газпром межрегионгаз Курган"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Свердловская область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74,17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80,43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91,93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108,12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112,82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118,06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123,27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-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60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АО "ГАЗЭКС"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Свердловская область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-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-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-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-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-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-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-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222,96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61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АО "Уралсевергаз" на территории Свердловской области (за исключением городского округа "Город Лесной" Свердловской области)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Свердловская область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76,38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82,84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94,68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111,36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116,21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121,59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126,96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222,96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62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АО "Уралсевергаз" на территории городского округа "Город Лесной" Свердловской области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Свердловская область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76,38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82,84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94,68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111,36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116,21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121,59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126,96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171,78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63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ООО "Газпром межрегионгаз Ярославль"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Ярославская область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90,35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96,98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121,16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141,91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154,64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159,42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164,20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227,25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64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ООО "Газпром межрегионгаз Тула"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Тульская область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67,88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91,88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106,52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140,18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143,78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147,46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149,95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161,33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65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ПАО "Севастопольгаз"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Город федерального значения Севастополь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-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-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715,45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724,38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728,86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733,34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742,28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370,09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66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ГУП "Севастопольгаз"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Город федерального значения Севастополь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-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-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-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1 032,41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946,36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903,36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860,34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377,22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67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ООО "Газпром межрегионгаз Ижевск"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Республика Удмуртия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124,67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127,52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137,42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162,16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186,08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189,92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193,73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206,64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68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ООО "Газпром межрегионгаз Ульяновск"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Ульяновская область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142,05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148,35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161,83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181,61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186,10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190,98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196,00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248,68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69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ООО "Газпром межрегионгаз Грозный"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Чеченская Республика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34,70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36,77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73,55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110,33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147,10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183,87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229,85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247,58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70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ООО "Газпром межрегионгаз Ставрополь"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Ставропольский край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177,26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186,06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197,03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221,09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226,57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232,04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236,42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235,09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71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ООО "Газпром межрегионгаз Тамбов"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Тамбовская область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52,73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218,59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237,06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269,94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280,47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292,33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302,88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355,99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72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ООО "Газпром межрегионгаз Смоленск"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Смоленская область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127,80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136,88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147,61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166,56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170,20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173,98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177,78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215,18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73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ООО "Газпром межрегионгаз Чебоксары"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Чувашская Республика - Чувашия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146,27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149,36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162,65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170,28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172,69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177,68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183,56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269,11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74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ООО "Газпром межрегионгаз Новосибирск"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Томская область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84,78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86,79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94,24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106,51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108,64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109,66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110,73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148,75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75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ООО "Газпром межрегионгаз Курган"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Челябинская область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53,08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55,06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58,37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67,01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67,66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69,01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70,32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-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76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ООО "Газпром межрегионгаз Тверь"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Тверская область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-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204,21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209,14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221,44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233,74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236,20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241,12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136,35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77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АО "Газпром газораспределение Дальний Восток"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Хабаровский край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81,56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318,07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326,23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346,62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367,01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375,16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383,32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441,42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78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ООО "Газпром межрегионгаз Дальний Восток"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Хабаровский край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1,72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3,45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6,91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10,35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13,81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17,26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21,58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30,21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79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ООО "Газпром межрегионгаз Липецк"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Липецкая область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225,97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238,01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258,80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295,14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316,52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323,22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332,12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256,94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80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ООО "Газпром межрегионгаз Майкоп"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Республика Адыгея (Адыгея)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61,87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92,80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277,95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308,80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315,52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321,71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327,89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473,12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81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ООО "Газпром межрегионгаз Астрахань"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Астраханская область и Республика Калмыкия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167,27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177,38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193,88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241,00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244,52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249,45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252,37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267,17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82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ООО "Газпром межрегионгаз Орел"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Орловская область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36,10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154,21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170,95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192,76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202,40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216,57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233,73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305,83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83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ООО "Газпром межрегионгаз Саранск"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Республика Мордовия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129,05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132,58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141,42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157,33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159,10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160,87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162,63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282,85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84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ООО "Газпром межрегионгаз Север"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Тюменская область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67,23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88,11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92,74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106,66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112,45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119,40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124,04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135,89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85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ООО "Газпром межрегионгаз Север"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Ханты-Мансийский автономный округ - Югра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67,23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88,11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92,74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106,66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112,45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119,40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124,04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135,89</w:t>
            </w:r>
            <w:r/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pStyle w:val="1030"/>
              <w:jc w:val="center"/>
            </w:pPr>
            <w:r>
              <w:rPr>
                <w:sz w:val="24"/>
                <w:lang w:val="en-US"/>
              </w:rPr>
              <w:t xml:space="preserve">86</w:t>
            </w:r>
            <w:r/>
          </w:p>
        </w:tc>
        <w:tc>
          <w:tcPr>
            <w:tcW w:w="3514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ООО "Газпром межрегионгаз Север"</w:t>
            </w:r>
            <w:r/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1030"/>
            </w:pPr>
            <w:r>
              <w:rPr>
                <w:sz w:val="24"/>
                <w:lang w:val="ru-RU"/>
              </w:rPr>
              <w:t xml:space="preserve">Ямало-Ненецкий автономный округ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67,23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88,11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92,74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106,66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112,45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119,40</w:t>
            </w:r>
            <w:r/>
          </w:p>
        </w:tc>
        <w:tc>
          <w:tcPr>
            <w:tcW w:w="915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124,04</w:t>
            </w:r>
            <w:r/>
          </w:p>
        </w:tc>
        <w:tc>
          <w:tcPr>
            <w:tcW w:w="920" w:type="dxa"/>
            <w:vAlign w:val="center"/>
            <w:textDirection w:val="lrTb"/>
            <w:noWrap w:val="false"/>
          </w:tcPr>
          <w:p>
            <w:pPr>
              <w:pStyle w:val="1030"/>
              <w:jc w:val="right"/>
            </w:pPr>
            <w:r>
              <w:rPr>
                <w:sz w:val="24"/>
                <w:lang w:val="en-US"/>
              </w:rPr>
              <w:t xml:space="preserve">135,89</w:t>
            </w:r>
            <w:r/>
          </w:p>
        </w:tc>
      </w:tr>
    </w:tbl>
    <w:p>
      <w:pPr>
        <w:pStyle w:val="1030"/>
        <w:ind w:firstLine="540"/>
        <w:jc w:val="both"/>
      </w:pPr>
      <w:r>
        <w:rPr>
          <w:sz w:val="24"/>
          <w:lang w:val="ru-RU"/>
        </w:rPr>
      </w:r>
      <w:r/>
    </w:p>
    <w:p>
      <w:pPr>
        <w:pStyle w:val="1030"/>
        <w:ind w:firstLine="540"/>
        <w:jc w:val="both"/>
      </w:pPr>
      <w:r>
        <w:rPr>
          <w:sz w:val="24"/>
          <w:lang w:val="ru-RU"/>
        </w:rPr>
      </w:r>
      <w:r/>
    </w:p>
    <w:p>
      <w:pPr>
        <w:pStyle w:val="1030"/>
        <w:jc w:val="both"/>
        <w:spacing w:before="100" w:after="100"/>
        <w:rPr>
          <w:sz w:val="2"/>
          <w:szCs w:val="2"/>
        </w:rPr>
        <w:pBdr>
          <w:bottom w:val="single" w:color="000000" w:sz="6" w:space="0"/>
        </w:pBdr>
      </w:pPr>
      <w:r>
        <w:rPr>
          <w:sz w:val="2"/>
          <w:szCs w:val="2"/>
        </w:rPr>
      </w:r>
      <w:r>
        <w:rPr>
          <w:sz w:val="2"/>
          <w:szCs w:val="2"/>
        </w:rPr>
      </w:r>
    </w:p>
    <w:sectPr>
      <w:headerReference w:type="default" r:id="rId10"/>
      <w:headerReference w:type="first" r:id="rId11"/>
      <w:footerReference w:type="default" r:id="rId14"/>
      <w:footerReference w:type="first" r:id="rId15"/>
      <w:footnotePr/>
      <w:endnotePr/>
      <w:type w:val="nextPage"/>
      <w:pgSz w:w="16838" w:h="11906" w:orient="landscape"/>
      <w:pgMar w:top="1133" w:right="1440" w:bottom="566" w:left="1440" w:header="0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ourier New">
    <w:panose1 w:val="02070309020205020404"/>
  </w:font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blPrEx/>
      <w:trPr>
        <w:trHeight w:val="1663" w:hRule="exact"/>
      </w:trPr>
      <w:tc>
        <w:tcPr>
          <w:tcW w:w="1650" w:type="pct"/>
          <w:vAlign w:val="center"/>
          <w:textDirection w:val="lrTb"/>
          <w:noWrap w:val="false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lang w:val="ru-RU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  <w:lang w:val="ru-RU"/>
            </w:rPr>
            <w:br/>
            <w:t xml:space="preserve">надежная правовая поддержка</w:t>
          </w:r>
          <w:r/>
        </w:p>
      </w:tc>
      <w:tc>
        <w:tcPr>
          <w:tcW w:w="1700" w:type="pct"/>
          <w:vAlign w:val="center"/>
          <w:textDirection w:val="lrTb"/>
          <w:noWrap w:val="false"/>
        </w:tcPr>
        <w:p>
          <w:pPr>
            <w:jc w:val="center"/>
          </w:pPr>
          <w:r/>
          <w:hyperlink r:id="rId1" w:tooltip="https://www.consultant.ru" w:history="1">
            <w:r>
              <w:rPr>
                <w:rFonts w:ascii="Tahoma" w:hAnsi="Tahoma" w:cs="Tahoma"/>
                <w:b/>
                <w:color w:val="0000ff"/>
                <w:lang w:val="en-US"/>
              </w:rPr>
              <w:t xml:space="preserve">www.consultant.ru</w:t>
            </w:r>
          </w:hyperlink>
          <w:r/>
          <w:r/>
        </w:p>
      </w:tc>
      <w:tc>
        <w:tcPr>
          <w:tcW w:w="1650" w:type="pct"/>
          <w:vAlign w:val="center"/>
          <w:textDirection w:val="lrTb"/>
          <w:noWrap w:val="false"/>
        </w:tcPr>
        <w:p>
          <w:pPr>
            <w:jc w:val="right"/>
          </w:pPr>
          <w:r>
            <w:rPr>
              <w:rFonts w:ascii="Tahoma" w:hAnsi="Tahoma" w:cs="Tahoma"/>
              <w:lang w:val="ru-RU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  <w:lang w:val="en-US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  <w:lang w:val="en-US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  <w:lang w:val="ru-RU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  <w:lang w:val="en-US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  <w:lang w:val="en-US"/>
            </w:rPr>
            <w:t xml:space="preserve">5</w:t>
          </w:r>
          <w:r>
            <w:fldChar w:fldCharType="end"/>
          </w:r>
          <w:r/>
        </w:p>
      </w:tc>
    </w:tr>
  </w:tbl>
  <w:p>
    <w:r>
      <w:rPr>
        <w:sz w:val="2"/>
        <w:szCs w:val="2"/>
        <w:lang w:val="en-US"/>
      </w:rPr>
      <w:t xml:space="preserve">1</w: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blPrEx/>
      <w:trPr>
        <w:trHeight w:val="1663" w:hRule="exact"/>
      </w:trPr>
      <w:tc>
        <w:tcPr>
          <w:tcW w:w="1650" w:type="pct"/>
          <w:vAlign w:val="center"/>
          <w:textDirection w:val="lrTb"/>
          <w:noWrap w:val="false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lang w:val="ru-RU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  <w:lang w:val="ru-RU"/>
            </w:rPr>
            <w:br/>
            <w:t xml:space="preserve">надежная правовая поддержка</w:t>
          </w:r>
          <w:r/>
        </w:p>
      </w:tc>
      <w:tc>
        <w:tcPr>
          <w:tcW w:w="1700" w:type="pct"/>
          <w:vAlign w:val="center"/>
          <w:textDirection w:val="lrTb"/>
          <w:noWrap w:val="false"/>
        </w:tcPr>
        <w:p>
          <w:pPr>
            <w:jc w:val="center"/>
          </w:pPr>
          <w:r/>
          <w:hyperlink r:id="rId1" w:tooltip="https://www.consultant.ru" w:history="1">
            <w:r>
              <w:rPr>
                <w:rFonts w:ascii="Tahoma" w:hAnsi="Tahoma" w:cs="Tahoma"/>
                <w:b/>
                <w:color w:val="0000ff"/>
                <w:lang w:val="en-US"/>
              </w:rPr>
              <w:t xml:space="preserve">www.consultant.ru</w:t>
            </w:r>
          </w:hyperlink>
          <w:r/>
          <w:r/>
        </w:p>
      </w:tc>
      <w:tc>
        <w:tcPr>
          <w:tcW w:w="1650" w:type="pct"/>
          <w:vAlign w:val="center"/>
          <w:textDirection w:val="lrTb"/>
          <w:noWrap w:val="false"/>
        </w:tcPr>
        <w:p>
          <w:pPr>
            <w:jc w:val="right"/>
          </w:pPr>
          <w:r>
            <w:rPr>
              <w:rFonts w:ascii="Tahoma" w:hAnsi="Tahoma" w:cs="Tahoma"/>
              <w:lang w:val="ru-RU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  <w:lang w:val="en-US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  <w:lang w:val="en-US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  <w:lang w:val="ru-RU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  <w:lang w:val="en-US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  <w:lang w:val="en-US"/>
            </w:rPr>
            <w:t xml:space="preserve">5</w:t>
          </w:r>
          <w:r>
            <w:fldChar w:fldCharType="end"/>
          </w:r>
          <w:r/>
        </w:p>
      </w:tc>
    </w:tr>
  </w:tbl>
  <w:p>
    <w:r>
      <w:rPr>
        <w:sz w:val="2"/>
        <w:szCs w:val="2"/>
        <w:lang w:val="en-US"/>
      </w:rPr>
      <w:t xml:space="preserve">1</w:t>
    </w:r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blPrEx/>
      <w:trPr>
        <w:trHeight w:val="1170" w:hRule="exact"/>
      </w:trPr>
      <w:tc>
        <w:tcPr>
          <w:tcW w:w="1650" w:type="pct"/>
          <w:vAlign w:val="center"/>
          <w:textDirection w:val="lrTb"/>
          <w:noWrap w:val="false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lang w:val="ru-RU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  <w:lang w:val="ru-RU"/>
            </w:rPr>
            <w:br/>
            <w:t xml:space="preserve">надежная правовая поддержка</w:t>
          </w:r>
          <w:r/>
        </w:p>
      </w:tc>
      <w:tc>
        <w:tcPr>
          <w:tcW w:w="1700" w:type="pct"/>
          <w:vAlign w:val="center"/>
          <w:textDirection w:val="lrTb"/>
          <w:noWrap w:val="false"/>
        </w:tcPr>
        <w:p>
          <w:pPr>
            <w:jc w:val="center"/>
          </w:pPr>
          <w:r/>
          <w:hyperlink r:id="rId1" w:tooltip="https://www.consultant.ru" w:history="1">
            <w:r>
              <w:rPr>
                <w:rFonts w:ascii="Tahoma" w:hAnsi="Tahoma" w:cs="Tahoma"/>
                <w:b/>
                <w:color w:val="0000ff"/>
                <w:lang w:val="en-US"/>
              </w:rPr>
              <w:t xml:space="preserve">www.consultant.ru</w:t>
            </w:r>
          </w:hyperlink>
          <w:r/>
          <w:r/>
        </w:p>
      </w:tc>
      <w:tc>
        <w:tcPr>
          <w:tcW w:w="1650" w:type="pct"/>
          <w:vAlign w:val="center"/>
          <w:textDirection w:val="lrTb"/>
          <w:noWrap w:val="false"/>
        </w:tcPr>
        <w:p>
          <w:pPr>
            <w:jc w:val="right"/>
          </w:pPr>
          <w:r>
            <w:rPr>
              <w:rFonts w:ascii="Tahoma" w:hAnsi="Tahoma" w:cs="Tahoma"/>
              <w:lang w:val="ru-RU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  <w:lang w:val="en-US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  <w:lang w:val="en-US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  <w:lang w:val="ru-RU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  <w:lang w:val="en-US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  <w:lang w:val="en-US"/>
            </w:rPr>
            <w:t xml:space="preserve">5</w:t>
          </w:r>
          <w:r>
            <w:fldChar w:fldCharType="end"/>
          </w:r>
          <w:r/>
        </w:p>
      </w:tc>
    </w:tr>
  </w:tbl>
  <w:p>
    <w:r>
      <w:rPr>
        <w:sz w:val="2"/>
        <w:szCs w:val="2"/>
        <w:lang w:val="en-US"/>
      </w:rPr>
      <w:t xml:space="preserve">1</w:t>
    </w:r>
    <w:r/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blPrEx/>
      <w:trPr>
        <w:trHeight w:val="1170" w:hRule="exact"/>
      </w:trPr>
      <w:tc>
        <w:tcPr>
          <w:tcW w:w="1650" w:type="pct"/>
          <w:vAlign w:val="center"/>
          <w:textDirection w:val="lrTb"/>
          <w:noWrap w:val="false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lang w:val="ru-RU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  <w:lang w:val="ru-RU"/>
            </w:rPr>
            <w:br/>
            <w:t xml:space="preserve">надежная правовая поддержка</w:t>
          </w:r>
          <w:r/>
        </w:p>
      </w:tc>
      <w:tc>
        <w:tcPr>
          <w:tcW w:w="1700" w:type="pct"/>
          <w:vAlign w:val="center"/>
          <w:textDirection w:val="lrTb"/>
          <w:noWrap w:val="false"/>
        </w:tcPr>
        <w:p>
          <w:pPr>
            <w:jc w:val="center"/>
          </w:pPr>
          <w:r/>
          <w:hyperlink r:id="rId1" w:tooltip="https://www.consultant.ru" w:history="1">
            <w:r>
              <w:rPr>
                <w:rFonts w:ascii="Tahoma" w:hAnsi="Tahoma" w:cs="Tahoma"/>
                <w:b/>
                <w:color w:val="0000ff"/>
                <w:lang w:val="en-US"/>
              </w:rPr>
              <w:t xml:space="preserve">www.consultant.ru</w:t>
            </w:r>
          </w:hyperlink>
          <w:r/>
          <w:r/>
        </w:p>
      </w:tc>
      <w:tc>
        <w:tcPr>
          <w:tcW w:w="1650" w:type="pct"/>
          <w:vAlign w:val="center"/>
          <w:textDirection w:val="lrTb"/>
          <w:noWrap w:val="false"/>
        </w:tcPr>
        <w:p>
          <w:pPr>
            <w:jc w:val="right"/>
          </w:pPr>
          <w:r>
            <w:rPr>
              <w:rFonts w:ascii="Tahoma" w:hAnsi="Tahoma" w:cs="Tahoma"/>
              <w:lang w:val="ru-RU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  <w:lang w:val="en-US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  <w:lang w:val="en-US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  <w:lang w:val="ru-RU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  <w:lang w:val="en-US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  <w:lang w:val="en-US"/>
            </w:rPr>
            <w:t xml:space="preserve">5</w:t>
          </w:r>
          <w:r>
            <w:fldChar w:fldCharType="end"/>
          </w:r>
          <w:r/>
        </w:p>
      </w:tc>
    </w:tr>
  </w:tbl>
  <w:p>
    <w:r>
      <w:rPr>
        <w:sz w:val="2"/>
        <w:szCs w:val="2"/>
        <w:lang w:val="en-US"/>
      </w:rPr>
      <w:t xml:space="preserve">1</w: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>
      <w:tblPrEx/>
      <w:trPr>
        <w:trHeight w:val="1683" w:hRule="exact"/>
      </w:trPr>
      <w:tc>
        <w:tcPr>
          <w:tcW w:w="2700" w:type="pct"/>
          <w:vAlign w:val="center"/>
          <w:textDirection w:val="lrTb"/>
          <w:noWrap w:val="false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  <w:lang w:val="ru-RU"/>
            </w:rPr>
            <w:t xml:space="preserve">Приказ ФАС России от 29.12.2025 N 1216/25</w:t>
            <w:br/>
            <w:t xml:space="preserve">(ред. от 02.04.2026)</w:t>
            <w:br/>
            <w:t xml:space="preserve">"Об утверждении размера платы за снабженческо-сбытовые ус...</w:t>
          </w:r>
          <w:r>
            <w:rPr>
              <w:rFonts w:ascii="Tahoma" w:hAnsi="Tahoma" w:cs="Tahoma"/>
            </w:rPr>
          </w:r>
        </w:p>
      </w:tc>
      <w:tc>
        <w:tcPr>
          <w:tcW w:w="2300" w:type="pct"/>
          <w:vAlign w:val="center"/>
          <w:textDirection w:val="lrTb"/>
          <w:noWrap w:val="false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lang w:val="ru-RU"/>
            </w:rPr>
            <w:t xml:space="preserve">Документ предоставлен </w:t>
          </w:r>
          <w:hyperlink r:id="rId1" w:tooltip="КонсультантПлюс - надежная правовая система" w:history="1">
            <w:r>
              <w:rPr>
                <w:rFonts w:ascii="Tahoma" w:hAnsi="Tahoma" w:cs="Tahoma"/>
                <w:color w:val="0000ff"/>
                <w:sz w:val="18"/>
                <w:szCs w:val="18"/>
                <w:lang w:val="ru-RU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  <w:lang w:val="ru-RU"/>
            </w:rPr>
            <w:br/>
          </w:r>
          <w:r>
            <w:rPr>
              <w:rFonts w:ascii="Tahoma" w:hAnsi="Tahoma" w:cs="Tahoma"/>
              <w:sz w:val="16"/>
              <w:szCs w:val="16"/>
              <w:lang w:val="ru-RU"/>
            </w:rPr>
            <w:t xml:space="preserve">Дата сохранения: 26.08.2026</w:t>
          </w:r>
          <w:r>
            <w:rPr>
              <w:rFonts w:ascii="Tahoma" w:hAnsi="Tahoma" w:cs="Tahoma"/>
            </w:rPr>
          </w:r>
        </w:p>
      </w:tc>
    </w:tr>
  </w:tbl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p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>
      <w:tblPrEx/>
      <w:trPr>
        <w:trHeight w:val="1683" w:hRule="exact"/>
      </w:trPr>
      <w:tc>
        <w:tcPr>
          <w:tcW w:w="2700" w:type="pct"/>
          <w:vAlign w:val="center"/>
          <w:textDirection w:val="lrTb"/>
          <w:noWrap w:val="false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  <w:lang w:val="ru-RU"/>
            </w:rPr>
            <w:t xml:space="preserve">Приказ ФАС России от 29.12.2025 N 1216/25</w:t>
            <w:br/>
            <w:t xml:space="preserve">(ред. от 02.04.2026)</w:t>
            <w:br/>
            <w:t xml:space="preserve">"Об утверждении размера платы за снабженческо-сбытовые ус...</w:t>
          </w:r>
          <w:r>
            <w:rPr>
              <w:rFonts w:ascii="Tahoma" w:hAnsi="Tahoma" w:cs="Tahoma"/>
            </w:rPr>
          </w:r>
        </w:p>
      </w:tc>
      <w:tc>
        <w:tcPr>
          <w:tcW w:w="2300" w:type="pct"/>
          <w:vAlign w:val="center"/>
          <w:textDirection w:val="lrTb"/>
          <w:noWrap w:val="false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lang w:val="ru-RU"/>
            </w:rPr>
            <w:t xml:space="preserve">Документ предоставлен </w:t>
          </w:r>
          <w:hyperlink r:id="rId1" w:tooltip="КонсультантПлюс - надежная правовая система" w:history="1">
            <w:r>
              <w:rPr>
                <w:rFonts w:ascii="Tahoma" w:hAnsi="Tahoma" w:cs="Tahoma"/>
                <w:color w:val="0000ff"/>
                <w:sz w:val="18"/>
                <w:szCs w:val="18"/>
                <w:lang w:val="ru-RU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  <w:lang w:val="ru-RU"/>
            </w:rPr>
            <w:br/>
          </w:r>
          <w:r>
            <w:rPr>
              <w:rFonts w:ascii="Tahoma" w:hAnsi="Tahoma" w:cs="Tahoma"/>
              <w:sz w:val="16"/>
              <w:szCs w:val="16"/>
              <w:lang w:val="ru-RU"/>
            </w:rPr>
            <w:t xml:space="preserve">Дата сохранения: 26.08.2026</w:t>
          </w:r>
          <w:r>
            <w:rPr>
              <w:rFonts w:ascii="Tahoma" w:hAnsi="Tahoma" w:cs="Tahoma"/>
            </w:rPr>
          </w:r>
        </w:p>
      </w:tc>
    </w:tr>
  </w:tbl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p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>
      <w:tblPrEx/>
      <w:trPr>
        <w:trHeight w:val="1190" w:hRule="exact"/>
      </w:trPr>
      <w:tc>
        <w:tcPr>
          <w:tcW w:w="2700" w:type="pct"/>
          <w:vAlign w:val="center"/>
          <w:textDirection w:val="lrTb"/>
          <w:noWrap w:val="false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  <w:lang w:val="ru-RU"/>
            </w:rPr>
            <w:t xml:space="preserve">Приказ ФАС России от 29.12.2025 N 1216/25</w:t>
            <w:br/>
            <w:t xml:space="preserve">(ред. от 02.04.2026)</w:t>
            <w:br/>
            <w:t xml:space="preserve">"Об утверждении размера платы за снабженческо-сбытовые ус...</w:t>
          </w:r>
          <w:r>
            <w:rPr>
              <w:rFonts w:ascii="Tahoma" w:hAnsi="Tahoma" w:cs="Tahoma"/>
            </w:rPr>
          </w:r>
        </w:p>
      </w:tc>
      <w:tc>
        <w:tcPr>
          <w:tcW w:w="2300" w:type="pct"/>
          <w:vAlign w:val="center"/>
          <w:textDirection w:val="lrTb"/>
          <w:noWrap w:val="false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lang w:val="ru-RU"/>
            </w:rPr>
            <w:t xml:space="preserve">Документ предоставлен </w:t>
          </w:r>
          <w:hyperlink r:id="rId1" w:tooltip="КонсультантПлюс - надежная правовая система" w:history="1">
            <w:r>
              <w:rPr>
                <w:rFonts w:ascii="Tahoma" w:hAnsi="Tahoma" w:cs="Tahoma"/>
                <w:color w:val="0000ff"/>
                <w:sz w:val="18"/>
                <w:szCs w:val="18"/>
                <w:lang w:val="ru-RU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  <w:lang w:val="ru-RU"/>
            </w:rPr>
            <w:br/>
          </w:r>
          <w:r>
            <w:rPr>
              <w:rFonts w:ascii="Tahoma" w:hAnsi="Tahoma" w:cs="Tahoma"/>
              <w:sz w:val="16"/>
              <w:szCs w:val="16"/>
              <w:lang w:val="ru-RU"/>
            </w:rPr>
            <w:t xml:space="preserve">Дата сохранения: 26.08.2026</w:t>
          </w:r>
          <w:r>
            <w:rPr>
              <w:rFonts w:ascii="Tahoma" w:hAnsi="Tahoma" w:cs="Tahoma"/>
            </w:rPr>
          </w:r>
        </w:p>
      </w:tc>
    </w:tr>
  </w:tbl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p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>
      <w:tblPrEx/>
      <w:trPr>
        <w:trHeight w:val="1190" w:hRule="exact"/>
      </w:trPr>
      <w:tc>
        <w:tcPr>
          <w:tcW w:w="2700" w:type="pct"/>
          <w:vAlign w:val="center"/>
          <w:textDirection w:val="lrTb"/>
          <w:noWrap w:val="false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  <w:lang w:val="ru-RU"/>
            </w:rPr>
            <w:t xml:space="preserve">Приказ ФАС России от 29.12.2025 N 1216/25</w:t>
            <w:br/>
            <w:t xml:space="preserve">(ред. от 02.04.2026)</w:t>
            <w:br/>
            <w:t xml:space="preserve">"Об утверждении размера платы за снабженческо-сбытовые ус...</w:t>
          </w:r>
          <w:r>
            <w:rPr>
              <w:rFonts w:ascii="Tahoma" w:hAnsi="Tahoma" w:cs="Tahoma"/>
            </w:rPr>
          </w:r>
        </w:p>
      </w:tc>
      <w:tc>
        <w:tcPr>
          <w:tcW w:w="2300" w:type="pct"/>
          <w:vAlign w:val="center"/>
          <w:textDirection w:val="lrTb"/>
          <w:noWrap w:val="false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lang w:val="ru-RU"/>
            </w:rPr>
            <w:t xml:space="preserve">Документ предоставлен </w:t>
          </w:r>
          <w:hyperlink r:id="rId1" w:tooltip="КонсультантПлюс - надежная правовая система" w:history="1">
            <w:r>
              <w:rPr>
                <w:rFonts w:ascii="Tahoma" w:hAnsi="Tahoma" w:cs="Tahoma"/>
                <w:color w:val="0000ff"/>
                <w:sz w:val="18"/>
                <w:szCs w:val="18"/>
                <w:lang w:val="ru-RU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  <w:lang w:val="ru-RU"/>
            </w:rPr>
            <w:br/>
          </w:r>
          <w:r>
            <w:rPr>
              <w:rFonts w:ascii="Tahoma" w:hAnsi="Tahoma" w:cs="Tahoma"/>
              <w:sz w:val="16"/>
              <w:szCs w:val="16"/>
              <w:lang w:val="ru-RU"/>
            </w:rPr>
            <w:t xml:space="preserve">Дата сохранения: 26.08.2026</w:t>
          </w:r>
          <w:r>
            <w:rPr>
              <w:rFonts w:ascii="Tahoma" w:hAnsi="Tahoma" w:cs="Tahoma"/>
            </w:rPr>
          </w:r>
        </w:p>
      </w:tc>
    </w:tr>
  </w:tbl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p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Normal"/>
    <w:qFormat/>
  </w:style>
  <w:style w:type="paragraph" w:styleId="14">
    <w:name w:val="Heading 1"/>
    <w:basedOn w:val="11"/>
    <w:next w:val="11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11"/>
    <w:next w:val="11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11"/>
    <w:next w:val="11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11"/>
    <w:next w:val="11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11"/>
    <w:next w:val="11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11"/>
    <w:next w:val="11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11"/>
    <w:next w:val="11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11"/>
    <w:next w:val="11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11"/>
    <w:next w:val="11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11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11"/>
    <w:next w:val="11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11"/>
    <w:next w:val="11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11"/>
    <w:next w:val="11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11"/>
    <w:next w:val="11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11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11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11"/>
    <w:next w:val="11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11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11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11"/>
    <w:next w:val="11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11"/>
    <w:next w:val="11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11"/>
    <w:next w:val="11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11"/>
    <w:next w:val="11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11"/>
    <w:next w:val="11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11"/>
    <w:next w:val="11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11"/>
    <w:next w:val="11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11"/>
    <w:next w:val="11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11"/>
    <w:next w:val="11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11"/>
    <w:next w:val="11"/>
    <w:uiPriority w:val="99"/>
    <w:unhideWhenUsed/>
    <w:pPr>
      <w:spacing w:after="0" w:afterAutospacing="0"/>
    </w:pPr>
  </w:style>
  <w:style w:type="paragraph" w:styleId="1030" w:default="1" w:customStyle="1">
    <w:name w:val="ConsPlusNormal"/>
    <w:pPr>
      <w:widowControl w:val="off"/>
    </w:pPr>
    <w:rPr>
      <w:rFonts w:ascii="Times New Roman" w:hAnsi="Times New Roman" w:cs="Times New Roman"/>
      <w:sz w:val="24"/>
    </w:rPr>
  </w:style>
  <w:style w:type="paragraph" w:styleId="1031" w:customStyle="1">
    <w:name w:val="ConsPlusNonformat"/>
    <w:pPr>
      <w:widowControl w:val="off"/>
    </w:pPr>
    <w:rPr>
      <w:rFonts w:ascii="Courier New" w:hAnsi="Courier New" w:cs="Courier New"/>
      <w:sz w:val="20"/>
    </w:rPr>
  </w:style>
  <w:style w:type="paragraph" w:styleId="1032" w:customStyle="1">
    <w:name w:val="ConsPlusTitle"/>
    <w:pPr>
      <w:widowControl w:val="off"/>
    </w:pPr>
    <w:rPr>
      <w:rFonts w:ascii="Arial" w:hAnsi="Arial" w:cs="Arial"/>
      <w:b/>
      <w:sz w:val="24"/>
    </w:rPr>
  </w:style>
  <w:style w:type="paragraph" w:styleId="1033" w:customStyle="1">
    <w:name w:val="ConsPlusCell"/>
    <w:pPr>
      <w:widowControl w:val="off"/>
    </w:pPr>
    <w:rPr>
      <w:rFonts w:ascii="Courier New" w:hAnsi="Courier New" w:cs="Courier New"/>
      <w:sz w:val="20"/>
    </w:rPr>
  </w:style>
  <w:style w:type="paragraph" w:styleId="1034" w:customStyle="1">
    <w:name w:val="ConsPlusDocList"/>
    <w:pPr>
      <w:widowControl w:val="off"/>
    </w:pPr>
    <w:rPr>
      <w:rFonts w:ascii="Tahoma" w:hAnsi="Tahoma" w:cs="Tahoma"/>
      <w:sz w:val="18"/>
    </w:rPr>
  </w:style>
  <w:style w:type="paragraph" w:styleId="1035" w:customStyle="1">
    <w:name w:val="ConsPlusTitlePage"/>
    <w:pPr>
      <w:widowControl w:val="off"/>
    </w:pPr>
    <w:rPr>
      <w:rFonts w:ascii="Tahoma" w:hAnsi="Tahoma" w:cs="Tahoma"/>
      <w:sz w:val="20"/>
    </w:rPr>
  </w:style>
  <w:style w:type="paragraph" w:styleId="1036" w:customStyle="1">
    <w:name w:val="ConsPlusJurTerm"/>
    <w:pPr>
      <w:widowControl w:val="off"/>
    </w:pPr>
    <w:rPr>
      <w:rFonts w:ascii="Tahoma" w:hAnsi="Tahoma" w:cs="Tahoma"/>
      <w:sz w:val="26"/>
    </w:rPr>
  </w:style>
  <w:style w:type="paragraph" w:styleId="1037" w:customStyle="1">
    <w:name w:val="ConsPlusTextList"/>
    <w:pPr>
      <w:widowControl w:val="off"/>
    </w:pPr>
    <w:rPr>
      <w:rFonts w:ascii="Times New Roman" w:hAnsi="Times New Roman" w:cs="Times New Roman"/>
      <w:sz w:val="24"/>
    </w:rPr>
  </w:style>
  <w:style w:type="paragraph" w:styleId="1038" w:customStyle="1">
    <w:name w:val="ConsPlusTextList"/>
    <w:pPr>
      <w:widowControl w:val="off"/>
    </w:pPr>
    <w:rPr>
      <w:rFonts w:ascii="Times New Roman" w:hAnsi="Times New Roman" w:cs="Times New Roman"/>
      <w:sz w:val="24"/>
    </w:rPr>
  </w:style>
  <w:style w:type="character" w:styleId="11148" w:default="1">
    <w:name w:val="Default Paragraph Font"/>
    <w:uiPriority w:val="1"/>
    <w:semiHidden/>
    <w:unhideWhenUsed/>
  </w:style>
  <w:style w:type="numbering" w:styleId="11149" w:default="1">
    <w:name w:val="No List"/>
    <w:uiPriority w:val="99"/>
    <w:semiHidden/>
    <w:unhideWhenUsed/>
  </w:style>
  <w:style w:type="table" w:styleId="11150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header" Target="header4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footer" Target="footer4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КонсультантПлюс Версия 4024.00.50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ФАС России от 29.12.2025 N 1216/25
(ред. от 02.04.2026)
"Об утверждении размера платы за снабженческо-сбытовые услуги, оказываемые потребителям поставщиками газа"
(Зарегистрировано в Минюсте России 26.03.2026 N 85728)</dc:title>
  <cp:lastModifiedBy>u0216</cp:lastModifiedBy>
  <cp:revision>1</cp:revision>
  <dcterms:created xsi:type="dcterms:W3CDTF">2026-08-26T05:18:20Z</dcterms:created>
  <dcterms:modified xsi:type="dcterms:W3CDTF">2026-08-26T05:25:31Z</dcterms:modified>
</cp:coreProperties>
</file>